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A79" w:rsidRPr="00902DFA" w:rsidRDefault="008D4A79" w:rsidP="008D4A79">
      <w:pPr>
        <w:widowControl/>
        <w:wordWrap/>
        <w:autoSpaceDE/>
        <w:autoSpaceDN/>
        <w:spacing w:line="480" w:lineRule="auto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t>Supplementary Tables</w:t>
      </w:r>
    </w:p>
    <w:p w:rsidR="008D4A79" w:rsidRPr="00902DFA" w:rsidRDefault="008D4A79" w:rsidP="008D4A79">
      <w:pPr>
        <w:widowControl/>
        <w:wordWrap/>
        <w:autoSpaceDE/>
        <w:autoSpaceDN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t xml:space="preserve">Supplementary Table </w:t>
      </w:r>
      <w:r>
        <w:rPr>
          <w:rFonts w:ascii="Times New Roman" w:hAnsi="Times New Roman"/>
          <w:b/>
          <w:kern w:val="0"/>
          <w:sz w:val="24"/>
          <w:szCs w:val="24"/>
        </w:rPr>
        <w:t xml:space="preserve">1. </w:t>
      </w:r>
      <w:r w:rsidRPr="00E07F1A">
        <w:rPr>
          <w:rFonts w:ascii="Times New Roman" w:hAnsi="Times New Roman" w:hint="eastAsia"/>
          <w:b/>
          <w:color w:val="000000" w:themeColor="text1"/>
          <w:sz w:val="24"/>
          <w:szCs w:val="24"/>
        </w:rPr>
        <w:t xml:space="preserve">3-year Clinical Outcomes according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to the </w:t>
      </w:r>
      <w:r>
        <w:rPr>
          <w:rFonts w:ascii="Times New Roman" w:hAnsi="Times New Roman"/>
          <w:b/>
          <w:sz w:val="24"/>
          <w:szCs w:val="24"/>
        </w:rPr>
        <w:t>completeness of revascularization</w:t>
      </w:r>
    </w:p>
    <w:p w:rsidR="008D4A79" w:rsidRPr="00902DFA" w:rsidRDefault="008D4A79" w:rsidP="008D4A79">
      <w:pPr>
        <w:widowControl/>
        <w:wordWrap/>
        <w:autoSpaceDE/>
        <w:autoSpaceDN/>
        <w:jc w:val="left"/>
        <w:rPr>
          <w:rFonts w:ascii="Times New Roman" w:hAnsi="Times New Roman"/>
          <w:b/>
          <w:kern w:val="0"/>
          <w:sz w:val="24"/>
          <w:szCs w:val="24"/>
        </w:rPr>
      </w:pPr>
    </w:p>
    <w:tbl>
      <w:tblPr>
        <w:tblStyle w:val="ab"/>
        <w:tblW w:w="13812" w:type="dxa"/>
        <w:tblLayout w:type="fixed"/>
        <w:tblLook w:val="04A0" w:firstRow="1" w:lastRow="0" w:firstColumn="1" w:lastColumn="0" w:noHBand="0" w:noVBand="1"/>
      </w:tblPr>
      <w:tblGrid>
        <w:gridCol w:w="2178"/>
        <w:gridCol w:w="1080"/>
        <w:gridCol w:w="1080"/>
        <w:gridCol w:w="1080"/>
        <w:gridCol w:w="1260"/>
        <w:gridCol w:w="900"/>
        <w:gridCol w:w="1242"/>
        <w:gridCol w:w="810"/>
        <w:gridCol w:w="1260"/>
        <w:gridCol w:w="810"/>
        <w:gridCol w:w="1260"/>
        <w:gridCol w:w="852"/>
      </w:tblGrid>
      <w:tr w:rsidR="008D4A79" w:rsidRPr="00921489" w:rsidTr="00837E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8D4A79" w:rsidRPr="002A2201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Total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CR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iCR</w:t>
            </w:r>
          </w:p>
        </w:tc>
        <w:tc>
          <w:tcPr>
            <w:tcW w:w="21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Unadjusted</w:t>
            </w:r>
          </w:p>
        </w:tc>
        <w:tc>
          <w:tcPr>
            <w:tcW w:w="20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Multivariable-adjusted</w:t>
            </w:r>
          </w:p>
        </w:tc>
        <w:tc>
          <w:tcPr>
            <w:tcW w:w="207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PSM</w:t>
            </w:r>
          </w:p>
        </w:tc>
        <w:tc>
          <w:tcPr>
            <w:tcW w:w="2112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IPTW</w:t>
            </w:r>
          </w:p>
        </w:tc>
      </w:tr>
      <w:tr w:rsidR="008D4A79" w:rsidRPr="00921489" w:rsidTr="00837E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N=1314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N=579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N=735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HR</w:t>
            </w:r>
            <w:r w:rsidRPr="00921489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21489">
              <w:rPr>
                <w:rFonts w:ascii="Times New Roman" w:hAnsi="Times New Roman"/>
                <w:szCs w:val="20"/>
              </w:rPr>
              <w:t>(95%CI)</w:t>
            </w: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P Value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HR</w:t>
            </w:r>
            <w:r w:rsidRPr="00921489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21489">
              <w:rPr>
                <w:rFonts w:ascii="Times New Roman" w:hAnsi="Times New Roman"/>
                <w:szCs w:val="20"/>
              </w:rPr>
              <w:t>(95%CI)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P Value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HR</w:t>
            </w:r>
            <w:r w:rsidRPr="00921489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21489">
              <w:rPr>
                <w:rFonts w:ascii="Times New Roman" w:hAnsi="Times New Roman"/>
                <w:szCs w:val="20"/>
              </w:rPr>
              <w:t>(95%CI)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P Value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HR</w:t>
            </w:r>
            <w:r w:rsidRPr="00921489">
              <w:rPr>
                <w:rFonts w:ascii="Times New Roman" w:hAnsi="Times New Roman" w:hint="eastAsia"/>
                <w:szCs w:val="20"/>
              </w:rPr>
              <w:t xml:space="preserve"> </w:t>
            </w:r>
            <w:r w:rsidRPr="00921489">
              <w:rPr>
                <w:rFonts w:ascii="Times New Roman" w:hAnsi="Times New Roman"/>
                <w:szCs w:val="20"/>
              </w:rPr>
              <w:t>(95%CI)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P Value</w:t>
            </w:r>
          </w:p>
        </w:tc>
      </w:tr>
      <w:tr w:rsidR="008D4A79" w:rsidRPr="00921489" w:rsidTr="00837EA9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POCO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265 (20.2)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86 (14.9)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179 (24.4)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0.58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(0.45-0.76)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&lt;0.001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0.65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(0.49-0.86)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0.64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(0.48-0.86)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0.74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(0.62-0.89)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0.001</w:t>
            </w:r>
          </w:p>
        </w:tc>
      </w:tr>
      <w:tr w:rsidR="008D4A79" w:rsidRPr="00921489" w:rsidTr="00837E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All cause death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133 (10.1)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39 (6.7)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94 (12.8)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0.51</w:t>
            </w:r>
          </w:p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(0.35-0.75)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&lt;0.001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0.67</w:t>
            </w:r>
          </w:p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(0.44-1.02)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0.063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0.68</w:t>
            </w:r>
          </w:p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(0.44-1.05)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0.084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0.89</w:t>
            </w:r>
          </w:p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(0.69-1.15)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0.379</w:t>
            </w:r>
          </w:p>
        </w:tc>
      </w:tr>
      <w:tr w:rsidR="008D4A79" w:rsidRPr="00680D8F" w:rsidTr="00837EA9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Cardiac death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88 (6.7)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20 (3.5)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68 (9.3)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0.37</w:t>
            </w:r>
          </w:p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(0.22-0.60)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&lt;0.001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0.54</w:t>
            </w:r>
          </w:p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(0.31-0.96)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0.035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0.59</w:t>
            </w:r>
          </w:p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(0.32-1.10)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0.098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0.51</w:t>
            </w:r>
          </w:p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(0.35-0.75)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650B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9650B9">
              <w:rPr>
                <w:rFonts w:ascii="Times New Roman" w:hAnsi="Times New Roman"/>
                <w:color w:val="000000" w:themeColor="text1"/>
                <w:szCs w:val="20"/>
              </w:rPr>
              <w:t>&lt;0.001</w:t>
            </w:r>
          </w:p>
        </w:tc>
      </w:tr>
      <w:tr w:rsidR="008D4A79" w:rsidRPr="00921489" w:rsidTr="00837E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MI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47 (3.6)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13 (2.2)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34 (4.6)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0.35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(0.16-0.77)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0.009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0.41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(0.18-0.93)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0.033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0.39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(0.17-0.90)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0.028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0.67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(0.42-1.08)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0.102</w:t>
            </w:r>
          </w:p>
        </w:tc>
      </w:tr>
      <w:tr w:rsidR="008D4A79" w:rsidRPr="00921489" w:rsidTr="00837EA9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TV MI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28 (2.1)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9 (1.6)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19 (2.6)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0.38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(0.13-1.18)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0.094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0.58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(0.17-2.02)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0.396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0.59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(0.16-2.15)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0.421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1.15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(0.62-2.13)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0.667</w:t>
            </w:r>
          </w:p>
        </w:tc>
      </w:tr>
      <w:tr w:rsidR="008D4A79" w:rsidRPr="00921489" w:rsidTr="00837E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Stent thrombosis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19 (1.4)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8 (1.4)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11 (1.5)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0.91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(0.37-2.26)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0.840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1.76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(0.56-5.58)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0.335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1.44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(0.44-4.70)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0.549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1.80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(0.85-3.81)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0.122</w:t>
            </w:r>
          </w:p>
        </w:tc>
      </w:tr>
      <w:tr w:rsidR="008D4A79" w:rsidRPr="00921489" w:rsidTr="00837EA9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Any revascularization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131 (10.0)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49 (8.5)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82 (11.2)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0.73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(0.51-1.04)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0.084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0.71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(0.49-1.03)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0.073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0.70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(0.47-1.03)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0.069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0.66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(0.51-0.86)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0.002</w:t>
            </w:r>
          </w:p>
        </w:tc>
      </w:tr>
      <w:tr w:rsidR="008D4A79" w:rsidRPr="00921489" w:rsidTr="00837E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TLR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44 (3.3)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24 (4.1)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20 (2.7)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1.50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(0.83-2.71)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0.182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1.84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(0.95-3.59)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0.072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1.78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(0.89-3.54)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0.102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1.81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(1.14-2.88)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0.011</w:t>
            </w:r>
          </w:p>
        </w:tc>
      </w:tr>
      <w:tr w:rsidR="008D4A79" w:rsidRPr="00921489" w:rsidTr="00837EA9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TLF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126 (9.6)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39 (6.7)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87 (11.8)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0.56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(0.38-0.81)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0.002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0.76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(0.49-1.16)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0.205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0.82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(0.52-1.30)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0.405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0.91</w:t>
            </w:r>
          </w:p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(0.69-1.20)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0.495</w:t>
            </w:r>
          </w:p>
        </w:tc>
      </w:tr>
      <w:tr w:rsidR="008D4A79" w:rsidRPr="00686FCD" w:rsidTr="00837E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 w:hint="eastAsia"/>
                <w:szCs w:val="20"/>
              </w:rPr>
              <w:t xml:space="preserve">Any </w:t>
            </w:r>
            <w:r w:rsidRPr="00921489">
              <w:rPr>
                <w:rFonts w:ascii="Times New Roman" w:hAnsi="Times New Roman"/>
                <w:szCs w:val="20"/>
              </w:rPr>
              <w:t>Bleeding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8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30 (2.3)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10 (1.7)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20 (2.7)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0.62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(0.29-1.32)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0.217</w:t>
            </w:r>
          </w:p>
        </w:tc>
        <w:tc>
          <w:tcPr>
            <w:tcW w:w="12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0.73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(0.31-1.70)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0.461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0.63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(0.27-1.48)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0.286</w:t>
            </w:r>
          </w:p>
        </w:tc>
        <w:tc>
          <w:tcPr>
            <w:tcW w:w="12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0.61</w:t>
            </w:r>
          </w:p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(0.32-1.15)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8D4A79" w:rsidRPr="00921489" w:rsidRDefault="008D4A79" w:rsidP="00837EA9">
            <w:pPr>
              <w:pStyle w:val="a9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0"/>
              </w:rPr>
            </w:pPr>
            <w:r w:rsidRPr="00921489">
              <w:rPr>
                <w:rFonts w:ascii="Times New Roman" w:hAnsi="Times New Roman"/>
                <w:szCs w:val="20"/>
              </w:rPr>
              <w:t>0.125</w:t>
            </w:r>
          </w:p>
        </w:tc>
      </w:tr>
    </w:tbl>
    <w:p w:rsidR="008D4A79" w:rsidRPr="008D4A79" w:rsidRDefault="008D4A79" w:rsidP="008D4A79">
      <w:pPr>
        <w:widowControl/>
        <w:wordWrap/>
        <w:autoSpaceDE/>
        <w:autoSpaceDN/>
        <w:spacing w:line="360" w:lineRule="auto"/>
        <w:jc w:val="left"/>
        <w:rPr>
          <w:rFonts w:ascii="Times New Roman" w:hAnsi="Times New Roman"/>
          <w:kern w:val="0"/>
          <w:szCs w:val="20"/>
        </w:rPr>
      </w:pPr>
      <w:r w:rsidRPr="008D4A79">
        <w:rPr>
          <w:rFonts w:ascii="Times New Roman" w:hAnsi="Times New Roman"/>
          <w:kern w:val="0"/>
          <w:szCs w:val="20"/>
        </w:rPr>
        <w:t>Abbreviations: CR, complete revascularization; iCR, incomplete revascularization; HR, hazard ratio; CI, confidence interval; PSM, propensity score matched analysis; IPTW, inverse probability weighting analysis; POCO, patient oriented composite outcome; MI, myocardial infarction; TVMI, target vessel myocardial infarction; TLR, target lesion revascularization; TLF, target lesion failure</w:t>
      </w:r>
    </w:p>
    <w:p w:rsidR="008D4A79" w:rsidRDefault="008D4A79" w:rsidP="008D4A79">
      <w:pPr>
        <w:widowControl/>
        <w:wordWrap/>
        <w:autoSpaceDE/>
        <w:autoSpaceDN/>
        <w:jc w:val="left"/>
        <w:rPr>
          <w:rFonts w:ascii="Times New Roman" w:hAnsi="Times New Roman"/>
          <w:b/>
          <w:sz w:val="24"/>
          <w:szCs w:val="24"/>
        </w:rPr>
      </w:pPr>
      <w:r w:rsidRPr="00902DFA">
        <w:rPr>
          <w:rFonts w:ascii="Times New Roman" w:hAnsi="Times New Roman"/>
          <w:b/>
          <w:kern w:val="0"/>
          <w:sz w:val="24"/>
          <w:szCs w:val="24"/>
        </w:rPr>
        <w:lastRenderedPageBreak/>
        <w:t xml:space="preserve">Supplementary Table </w:t>
      </w:r>
      <w:r>
        <w:rPr>
          <w:rFonts w:ascii="Times New Roman" w:hAnsi="Times New Roman"/>
          <w:b/>
          <w:kern w:val="0"/>
          <w:sz w:val="24"/>
          <w:szCs w:val="24"/>
        </w:rPr>
        <w:t>2.</w:t>
      </w:r>
      <w:r w:rsidRPr="004F47CD">
        <w:rPr>
          <w:rFonts w:ascii="Times New Roman" w:hAnsi="Times New Roman"/>
          <w:b/>
          <w:sz w:val="24"/>
          <w:szCs w:val="24"/>
        </w:rPr>
        <w:t xml:space="preserve"> </w:t>
      </w:r>
      <w:r w:rsidRPr="00902DFA">
        <w:rPr>
          <w:rFonts w:ascii="Times New Roman" w:hAnsi="Times New Roman"/>
          <w:b/>
          <w:sz w:val="24"/>
          <w:szCs w:val="24"/>
        </w:rPr>
        <w:t xml:space="preserve">Baseline characteristics according to </w:t>
      </w:r>
      <w:r>
        <w:rPr>
          <w:rFonts w:ascii="Times New Roman" w:hAnsi="Times New Roman"/>
          <w:b/>
          <w:sz w:val="24"/>
          <w:szCs w:val="24"/>
        </w:rPr>
        <w:t>the baseline LV</w:t>
      </w:r>
      <w:r w:rsidR="003A270A">
        <w:rPr>
          <w:rFonts w:ascii="Times New Roman" w:hAnsi="Times New Roman"/>
          <w:b/>
          <w:sz w:val="24"/>
          <w:szCs w:val="24"/>
        </w:rPr>
        <w:t>EF</w:t>
      </w:r>
    </w:p>
    <w:p w:rsidR="008D4A79" w:rsidRPr="008D4A79" w:rsidRDefault="008D4A79" w:rsidP="008D4A79">
      <w:pPr>
        <w:widowControl/>
        <w:wordWrap/>
        <w:autoSpaceDE/>
        <w:autoSpaceDN/>
        <w:jc w:val="left"/>
        <w:rPr>
          <w:rFonts w:ascii="Times New Roman" w:hAnsi="Times New Roman"/>
          <w:b/>
          <w:kern w:val="0"/>
          <w:sz w:val="24"/>
          <w:szCs w:val="24"/>
        </w:rPr>
      </w:pPr>
    </w:p>
    <w:tbl>
      <w:tblPr>
        <w:tblStyle w:val="a5"/>
        <w:tblW w:w="136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30"/>
        <w:gridCol w:w="1460"/>
        <w:gridCol w:w="1260"/>
        <w:gridCol w:w="1272"/>
        <w:gridCol w:w="907"/>
        <w:gridCol w:w="1428"/>
        <w:gridCol w:w="1258"/>
        <w:gridCol w:w="1217"/>
        <w:gridCol w:w="956"/>
        <w:gridCol w:w="792"/>
      </w:tblGrid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Total (N=1314)</w:t>
            </w:r>
          </w:p>
        </w:tc>
        <w:tc>
          <w:tcPr>
            <w:tcW w:w="4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Reduced </w:t>
            </w:r>
            <w:r w:rsidR="003A270A">
              <w:rPr>
                <w:rFonts w:ascii="Times New Roman" w:hAnsi="Times New Roman"/>
                <w:b/>
                <w:sz w:val="18"/>
                <w:szCs w:val="18"/>
              </w:rPr>
              <w:t>LVEF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group</w:t>
            </w:r>
          </w:p>
        </w:tc>
        <w:tc>
          <w:tcPr>
            <w:tcW w:w="4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Preserved </w:t>
            </w:r>
            <w:r w:rsidR="003A270A">
              <w:rPr>
                <w:rFonts w:ascii="Times New Roman" w:hAnsi="Times New Roman"/>
                <w:b/>
                <w:sz w:val="18"/>
                <w:szCs w:val="18"/>
              </w:rPr>
              <w:t>LVEF</w:t>
            </w: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 xml:space="preserve"> group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P Value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‡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Total (N=236)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CR (N=73)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iCR (N=163)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P Value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*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Total (N=1078)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CR (N=506)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iCR (N=572)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sz w:val="18"/>
                <w:szCs w:val="18"/>
              </w:rPr>
              <w:t>P Value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†</w:t>
            </w:r>
          </w:p>
        </w:tc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Demographics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Age (years old)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66.8±11.8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65.3±11.4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67.4±11.9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0.207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62.5±12.1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61.6±11.8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63.3±12.3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0.018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Male sex,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180 (76.3%)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60 (82.2%)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120 (73.6%)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0.206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816 (75.7%)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392 (77.5%)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424 (74.1%)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0.228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0.918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Body mass index (kg/m</w:t>
            </w: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23.1±3.4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23.1±3.8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23.1±3.2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0.988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24.1±2.9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24.1±2.9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24.1±2.9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0.898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Diabetes mellitus,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90 (38.1%)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33 (45.2%)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57 (35.0%)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0.177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337 (31.3%)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162 (32.0%)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175 (30.6%)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0.662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0.049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Hypertension,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136 (57.6%)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41 (56.2%)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95 (58.3%)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0.871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552 (51.2%)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240 (47.4%)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312 (54.5%)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0.023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0.086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Dyslipidemia,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105 (44.5%)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30 (41.1%)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75 (46.0%)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0.575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502 (46.6%)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233 (46.0%)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269 (47.0%)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0.794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0.612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Current smoking,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113 (47.9%)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 (53.4%)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74 (45.4%)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0.317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520 (48.2%)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247 (48.8%)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273 (47.7%)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0.768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0.978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Previous Stroke,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 (7.2%)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 (6.8%)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 (7.4%)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70 (6.5%)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31 (6.1%)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 (6.8%)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0.737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0.800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Congestive heart failure,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 (5.9%)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 (8.2%)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 (4.9%)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0.486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 (0.6%)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 (0.4%)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 (0.7%)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0.795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Chronic renal failure,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>126 (53.4%)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>38 (52.8%)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>88 (59.5%)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 xml:space="preserve">0.427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>360 (33.4%)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>156 (31.8%)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>204 (37.3%)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 xml:space="preserve">0.072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Peripheral vascular disease,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 (1.7%)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 (4.1%)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 (0.6%)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0.168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 (0.9%)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 (1.2%)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 (0.7%)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0.608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0.490 </w:t>
            </w: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Prior MI,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 (7.6%)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 (6.8%)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 (8.0%)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0.971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75 (7.0%)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36 (7.1%)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 (6.8%)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0.943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0.823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Prior PCI,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28 (11.9%)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 (19.2%)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 (8.6%)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0.035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101 (9.4%)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 (9.7%)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52 (9.1%)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0.819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0.296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Family history of CAD, n (%)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 (3.8%)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 (1.4%)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 (4.9%)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0.345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65 (6.0%)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29 (5.7%)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36 (6.3%)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0.796 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0.237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pStyle w:val="a9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Angiographic findings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Angiographic disease extent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0.003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ind w:firstLineChars="150" w:firstLine="27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   2 vessel disease,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110 (46.6%)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45 (61.6%)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65 (39.9%)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685 (63.5%)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362 (71.5%)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323 (56.5%)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ind w:firstLineChars="150" w:firstLine="27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   3 vessel disease,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126 (53.4%)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28 (38.4%)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98 (60.1%)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393 (36.5%)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144 (28.5%)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249 (43.5%)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Left main disease,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 (5.9%)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 (4.1%)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 (6.7%)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0.621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36 (3.3%)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21 (4.2%)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 (2.6%)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0.221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0.090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Bifurcation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94 (39.8%)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32 (43.8%)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62 (38.0%)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0.486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396 (36.7%)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214 (42.3%)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182 (31.8%)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0.414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Type B2/C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199 (84.3%)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60 (82.2%)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139 (85.3%)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0.683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918 (85.2%)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439 (86.8%)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479 (83.7%)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0.192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0.822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Calcified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33 (14.0%)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 (12.3%)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 (14.7%)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0.774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76 (7.1%)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 (7.7%)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37 (6.5%)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0.500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Tortuous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57 (24.2%)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 (23.3%)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40 (24.5%)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0.966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223 (20.7%)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119 (23.5%)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104 (18.2%)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0.037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0.276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Thrombus in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74 (31.4%)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 (31.5%)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51 (31.3%)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380 (35.3%)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183 (36.2%)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197 (34.4%)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0.598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0.287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Previously treated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 (10.2%)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 (11.0%)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16 (9.8%)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0.972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82 (7.6%)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38 (7.5%)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44 (7.7%)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0.239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Culprit lesion,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0.801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0.500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ind w:firstLineChars="150" w:firstLine="27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   LM,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 (4.7%)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 (2.7%)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 (5.5%)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25 (2.3%)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 (2.6%)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 (2.1%)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ind w:firstLineChars="150" w:firstLine="27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   LAD,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136 (57.6%)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44 (60.3%)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92 (56.4%)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484 (44.9%)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237 (46.8%)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247 (43.2%)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ind w:firstLineChars="150" w:firstLine="27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   LCX,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 (10.2%)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 (9.6%)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 (10.4%)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127 (11.8%)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63 (12.5%)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64 (11.2%)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ind w:firstLineChars="150" w:firstLine="270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-   RCA,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65 (27.5%)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20 (27.4%)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45 (27.6%)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440 (40.8%)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192 (37.9%)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248 (43.4%)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Stent diameter, mm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3.0±0.4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3.0±0.3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3.0±0.4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0.387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3.1±0.4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3.1±0.4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3.1±0.4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0.049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0.001 </w:t>
            </w: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Stent diameter &lt;3mm,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108 (45.8%)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34 (46.6%)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74 (45.4%)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0.979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400 (37.1%)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190 (37.6%)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210 (36.7%)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0.806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0.017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Min. stent diameter, mm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2.9±0.4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2.8±0.3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2.9±0.4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0.015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3.0±0.4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2.9±0.4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3.0±0.4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0.011 </w:t>
            </w:r>
          </w:p>
        </w:tc>
      </w:tr>
      <w:tr w:rsidR="008D4A79" w:rsidRPr="00017952" w:rsidTr="00837EA9">
        <w:trPr>
          <w:trHeight w:val="360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Min. stent diameter &lt;3mm,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121 (51.3%)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43 (58.9%)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78 (47.9%)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0.153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504 (46.8%)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253 (50.0%)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251 (43.9%)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0.051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0.235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Total stent length, mm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44.9±27.9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52.6±30.4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41.5±26.1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43.2±25.5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49.5±28.6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37.6±20.8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0.348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Total stent length ≥30mm,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155 (65.7%)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54 (74.0%)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101 (62.0%)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0.099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648 (60.2%)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344 (68.1%)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304 (53.1%)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0.134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Total stent number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1.8±1.0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2.2±1.1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1.6±0.9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1.8 ± 0.9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2.0±1.1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1.5±0.7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0.604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Staged PCI </w:t>
            </w:r>
            <w:r w:rsidRPr="00017952">
              <w:rPr>
                <w:rFonts w:ascii="Times New Roman" w:hAnsi="Times New Roman"/>
                <w:bCs/>
                <w:i/>
                <w:color w:val="000000" w:themeColor="text1"/>
                <w:sz w:val="18"/>
                <w:szCs w:val="18"/>
              </w:rPr>
              <w:t>(Among CR patients)</w:t>
            </w: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 (15.1%)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NA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NA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86 (17.0%)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NA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0.725 </w:t>
            </w: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Second generation DES usage,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166 (70.3%)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51 (69.9%)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115 (70.6%)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778 (72.2%)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366 (72.3%)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412 (72.0%)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0.966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0.626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Contrast Volume, ml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282.9±111.4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298.3±103.7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274.7±116.0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0.473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269.9±111.2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279.5±108.6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259.0±113.6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0.223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0.460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GP IIb/IIIa inhibitor usage,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25 (10.6%)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 (9.6%)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 (11.0%)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0.915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118 (10.9%)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52 (10.3%)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66 (11.5%)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0.572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0.966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IVUS usage,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70 (29.7%)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21 (28.8%)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 (30.1%)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0.962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327 (30.3%)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180 (35.6%)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147 (25.7%)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0.900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Device success,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229 (97.0%)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71 (97.3%)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158 (96.9%)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1061 (98.4%)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498 (98.4%)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563 (98.4%)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0.240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Lesion success,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227 (96.2%)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69 (94.5%)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158 (96.9%)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0.598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1057 (98.1%)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495 (97.8%)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562 (98.3%)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0.777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0.134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Procedural success,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226 (95.8%)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68 (93.2%)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158 (96.9%)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0.325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1055 (97.9%)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494 (97.6%)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561 (98.1%)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0.766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SYNTAX score at baseline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22.6±9.9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19.1±9.7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24.1±9.6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17.3±8.3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15.1±7.6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19.2±8.3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SYNTAX score after PCI (residual)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8.3±8.5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2.3±3.0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11.1±8.7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5.1±5.7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1.7±2.3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8.2±6.0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Delta SYNTAX score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14.2±8.0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16.8±8.8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13.1±7.3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0.002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12.1±7.4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13.4±7.5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11.0±7.1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&lt;0.001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pStyle w:val="a9"/>
              <w:rPr>
                <w:rFonts w:ascii="Times New Roman" w:hAnsi="Times New Roman"/>
                <w:i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Laboratory data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FD6DC7" w:rsidP="00837EA9">
            <w:pPr>
              <w:rPr>
                <w:rFonts w:ascii="Times New Roman" w:hAnsi="Times New Roman" w:hint="eastAsia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LV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 w:val="18"/>
                <w:szCs w:val="18"/>
              </w:rPr>
              <w:t>EF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(%)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31.6±6.1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31.9±5.5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31.5±6.3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0.655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54.5±23.0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56.5±32.8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52.8±8.3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0.024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WBC (/ul)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11006±4123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10984±4614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11016±3897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0.956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10837±3893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10676±3994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10977±3801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0.210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0.553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Hemoglobin (g/dL)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13.2±2.3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13.2±2.1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13.2±2.3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0.884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13.9±2.1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14.0±2.0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13.8±2.2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0.144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Anemia (Hb&lt;12g/dL)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64 (27.5%)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19 (26.4%)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45 (28.0%)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0.930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172 (16.1%)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74 (14.9%)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98 (17.2%)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0.335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Creatinine (mg/dL)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61.0±30.6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62.2±29.6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60.5±31.2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0.694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73.7±29.0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75.2±28.5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72.3±29.4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0.115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Total Cholesterol (mg/dL)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172.8±44.9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169.3±44.5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174.3±45.1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0.447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183.4±45.3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182.8±45.0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183.8±45.5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0.722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0.002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Triglyceride (mg/dL)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110.6±70.5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116.9±79.9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108.0±66.3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0.446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133.4±90.2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135.0±88.0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131.9±92.2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0.600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HDL-cholesterol (mg/dL)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41.2±10.9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39.7±10.5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41.9±11.0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0.218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42.2±12.4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42.1±12.2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42.2±12.5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0.900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0.305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LDL-cholesterol (mg/dL)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111.7±38.8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113.1±36.0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111.1±40.0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0.760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116.7±37.8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116.7±39.9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116.6±36.0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0.963 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0.118 </w:t>
            </w:r>
          </w:p>
        </w:tc>
      </w:tr>
      <w:tr w:rsidR="008D4A79" w:rsidRPr="00017952" w:rsidTr="00837EA9">
        <w:trPr>
          <w:trHeight w:val="336"/>
        </w:trPr>
        <w:tc>
          <w:tcPr>
            <w:tcW w:w="3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pStyle w:val="a9"/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t>Discharge medication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8D4A79" w:rsidRPr="00017952" w:rsidRDefault="008D4A79" w:rsidP="00837EA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Aspirin, n (%)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widowControl/>
              <w:wordWrap/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234 (99.2%)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72 (98.6%)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162 (99.4%)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1072 (99.4%)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504 (99.6%)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568 (99.3%)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0.795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0.953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Clopidogrel,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227 (96.2%)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70 (95.9%)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157 (96.3%)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1058 (98.1%)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499 (98.6%)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559 (97.7%)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0.393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0.107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DAPT,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227 (96.2%)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70 (95.9%)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157 (96.3%)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1056 (98.0%)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498 (98.4%)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558 (97.6%)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0.430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0.165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Beta blocker,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147 (62.3%)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48 (65.8%)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99 (60.7%)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0.555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881 (81.7%)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412 (81.4%)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469 (82.0%)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0.871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ACE inhibitor,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121 (51.3%)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38 (52.1%)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83 (50.9%)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0.984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623 (57.8%)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266 (52.6%)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357 (62.4%)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0.001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0.079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ARBs,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57 (24.2%)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 (20.5%)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42 (25.8%)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0.483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255 (23.7%)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139 (27.5%)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116 (20.3%)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0.007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0.938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ACE</w:t>
            </w:r>
            <w:r w:rsidR="00BA052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inhibitor or ARBs,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176 (74.6%)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52 (71.2%)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124 (76.1%)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0.530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873 (81.0%)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405 (80.0%)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468 (81.8%)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0.506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0.033 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Statin, n (%)</w:t>
            </w: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185 (78.4%)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59 (80.8%)</w:t>
            </w:r>
          </w:p>
        </w:tc>
        <w:tc>
          <w:tcPr>
            <w:tcW w:w="12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126 (77.3%)</w:t>
            </w:r>
          </w:p>
        </w:tc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0.663 </w:t>
            </w:r>
          </w:p>
        </w:tc>
        <w:tc>
          <w:tcPr>
            <w:tcW w:w="14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962 (89.2%)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453 (89.5%)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509 (89.0%)</w:t>
            </w:r>
          </w:p>
        </w:tc>
        <w:tc>
          <w:tcPr>
            <w:tcW w:w="9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0.852 </w:t>
            </w:r>
          </w:p>
        </w:tc>
        <w:tc>
          <w:tcPr>
            <w:tcW w:w="7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&lt;0.001</w:t>
            </w:r>
          </w:p>
        </w:tc>
      </w:tr>
      <w:tr w:rsidR="008D4A79" w:rsidRPr="00017952" w:rsidTr="00837EA9">
        <w:trPr>
          <w:trHeight w:val="348"/>
        </w:trPr>
        <w:tc>
          <w:tcPr>
            <w:tcW w:w="313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  <w:t>Calcium channel blocker, n (%)</w:t>
            </w:r>
          </w:p>
        </w:tc>
        <w:tc>
          <w:tcPr>
            <w:tcW w:w="14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15 (6.4%)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5 (6.8%)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10 (6.1%)</w:t>
            </w:r>
          </w:p>
        </w:tc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1.000 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91 (8.4%)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46 (9.1%)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>45 (7.9%)</w:t>
            </w:r>
          </w:p>
        </w:tc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0.541 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D4A79" w:rsidRPr="00017952" w:rsidRDefault="008D4A79" w:rsidP="00837EA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1795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0.350 </w:t>
            </w:r>
          </w:p>
        </w:tc>
      </w:tr>
    </w:tbl>
    <w:p w:rsidR="008D4A79" w:rsidRDefault="008D4A79" w:rsidP="008D4A79">
      <w:pPr>
        <w:wordWrap/>
        <w:spacing w:line="360" w:lineRule="auto"/>
        <w:rPr>
          <w:rFonts w:ascii="Times New Roman" w:hAnsi="Times New Roman"/>
          <w:color w:val="000000" w:themeColor="text1"/>
          <w:szCs w:val="18"/>
        </w:rPr>
      </w:pPr>
      <w:r w:rsidRPr="00DF79B6">
        <w:rPr>
          <w:rFonts w:ascii="Times New Roman" w:hAnsi="Times New Roman"/>
          <w:color w:val="000000" w:themeColor="text1"/>
          <w:szCs w:val="18"/>
        </w:rPr>
        <w:t xml:space="preserve">Abbreviations: MI, myocardial infarction; PCI, percutaneous coronary intervention; CAD, coronary artery disease; CR, complete revascularization; DES, drug-eluting stent; IVUS, intravascular ultrasound; GP, </w:t>
      </w:r>
      <w:r w:rsidRPr="00BA0522">
        <w:rPr>
          <w:rFonts w:ascii="Times New Roman" w:hAnsi="Times New Roman"/>
          <w:color w:val="000000" w:themeColor="text1"/>
          <w:szCs w:val="18"/>
        </w:rPr>
        <w:t xml:space="preserve">glycoprotein; </w:t>
      </w:r>
      <w:r w:rsidR="00BA0522" w:rsidRPr="00BA0522">
        <w:rPr>
          <w:rFonts w:ascii="Times New Roman" w:hAnsi="Times New Roman"/>
          <w:color w:val="000000" w:themeColor="text1"/>
        </w:rPr>
        <w:t>LVEF, left ventricular ejection fraction</w:t>
      </w:r>
      <w:r w:rsidRPr="00BA0522">
        <w:rPr>
          <w:rFonts w:ascii="Times New Roman" w:hAnsi="Times New Roman"/>
          <w:color w:val="000000" w:themeColor="text1"/>
          <w:szCs w:val="18"/>
        </w:rPr>
        <w:t>; DAPT, dual antiplatelet agent</w:t>
      </w:r>
      <w:r w:rsidRPr="00DF79B6">
        <w:rPr>
          <w:rFonts w:ascii="Times New Roman" w:hAnsi="Times New Roman"/>
          <w:color w:val="000000" w:themeColor="text1"/>
          <w:szCs w:val="18"/>
        </w:rPr>
        <w:t>; ACE, angiotensin-converting enzyme; ARB, angiotensin receptor blocker</w:t>
      </w:r>
      <w:bookmarkStart w:id="0" w:name="_GoBack"/>
      <w:bookmarkEnd w:id="0"/>
    </w:p>
    <w:p w:rsidR="008D4A79" w:rsidRPr="00DF79B6" w:rsidRDefault="008D4A79" w:rsidP="008D4A79">
      <w:pPr>
        <w:wordWrap/>
        <w:spacing w:line="360" w:lineRule="auto"/>
        <w:rPr>
          <w:rFonts w:ascii="Times New Roman" w:hAnsi="Times New Roman"/>
          <w:color w:val="000000" w:themeColor="text1"/>
          <w:szCs w:val="18"/>
        </w:rPr>
      </w:pPr>
    </w:p>
    <w:p w:rsidR="004E3002" w:rsidRPr="008D4A79" w:rsidRDefault="008D4A79" w:rsidP="008D4A79">
      <w:pPr>
        <w:widowControl/>
        <w:wordWrap/>
        <w:autoSpaceDE/>
        <w:autoSpaceDN/>
        <w:spacing w:line="360" w:lineRule="auto"/>
        <w:jc w:val="left"/>
        <w:rPr>
          <w:rFonts w:ascii="Times New Roman" w:hAnsi="Times New Roman"/>
          <w:sz w:val="18"/>
          <w:szCs w:val="18"/>
        </w:rPr>
      </w:pPr>
      <w:r w:rsidRPr="00EC2E62">
        <w:rPr>
          <w:rFonts w:ascii="Times New Roman" w:hAnsi="Times New Roman"/>
          <w:sz w:val="18"/>
          <w:szCs w:val="18"/>
        </w:rPr>
        <w:lastRenderedPageBreak/>
        <w:t xml:space="preserve">P Value*: P value from comparison of the CR and iCR within the </w:t>
      </w:r>
      <w:r>
        <w:rPr>
          <w:rFonts w:ascii="Times New Roman" w:hAnsi="Times New Roman"/>
          <w:sz w:val="18"/>
          <w:szCs w:val="18"/>
        </w:rPr>
        <w:t xml:space="preserve">reduced </w:t>
      </w:r>
      <w:r w:rsidRPr="00EC2E62">
        <w:rPr>
          <w:rFonts w:ascii="Times New Roman" w:hAnsi="Times New Roman"/>
          <w:sz w:val="18"/>
          <w:szCs w:val="18"/>
        </w:rPr>
        <w:t>LV</w:t>
      </w:r>
      <w:r w:rsidR="003A270A">
        <w:rPr>
          <w:rFonts w:ascii="Times New Roman" w:hAnsi="Times New Roman"/>
          <w:sz w:val="18"/>
          <w:szCs w:val="18"/>
        </w:rPr>
        <w:t>EF</w:t>
      </w:r>
      <w:r w:rsidRPr="00EC2E62">
        <w:rPr>
          <w:rFonts w:ascii="Times New Roman" w:hAnsi="Times New Roman"/>
          <w:sz w:val="18"/>
          <w:szCs w:val="18"/>
        </w:rPr>
        <w:t xml:space="preserve"> group</w:t>
      </w:r>
      <w:r>
        <w:rPr>
          <w:rFonts w:ascii="Times New Roman" w:hAnsi="Times New Roman"/>
          <w:sz w:val="18"/>
          <w:szCs w:val="18"/>
        </w:rPr>
        <w:t xml:space="preserve">; </w:t>
      </w:r>
      <w:r w:rsidRPr="00EC2E62">
        <w:rPr>
          <w:rFonts w:ascii="Times New Roman" w:hAnsi="Times New Roman"/>
          <w:sz w:val="18"/>
          <w:szCs w:val="18"/>
        </w:rPr>
        <w:t xml:space="preserve">P Value†: P value from comparison of the CR and iCR within the </w:t>
      </w:r>
      <w:r>
        <w:rPr>
          <w:rFonts w:ascii="Times New Roman" w:hAnsi="Times New Roman"/>
          <w:sz w:val="18"/>
          <w:szCs w:val="18"/>
        </w:rPr>
        <w:t>preserved</w:t>
      </w:r>
      <w:r w:rsidRPr="00EC2E62">
        <w:rPr>
          <w:rFonts w:ascii="Times New Roman" w:hAnsi="Times New Roman"/>
          <w:sz w:val="18"/>
          <w:szCs w:val="18"/>
        </w:rPr>
        <w:t xml:space="preserve"> </w:t>
      </w:r>
      <w:r w:rsidR="003A270A" w:rsidRPr="00EC2E62">
        <w:rPr>
          <w:rFonts w:ascii="Times New Roman" w:hAnsi="Times New Roman"/>
          <w:sz w:val="18"/>
          <w:szCs w:val="18"/>
        </w:rPr>
        <w:t>LV</w:t>
      </w:r>
      <w:r w:rsidR="003A270A">
        <w:rPr>
          <w:rFonts w:ascii="Times New Roman" w:hAnsi="Times New Roman"/>
          <w:sz w:val="18"/>
          <w:szCs w:val="18"/>
        </w:rPr>
        <w:t>EF</w:t>
      </w:r>
      <w:r w:rsidR="003A270A" w:rsidRPr="00EC2E62">
        <w:rPr>
          <w:rFonts w:ascii="Times New Roman" w:hAnsi="Times New Roman"/>
          <w:sz w:val="18"/>
          <w:szCs w:val="18"/>
        </w:rPr>
        <w:t xml:space="preserve"> </w:t>
      </w:r>
      <w:r w:rsidRPr="00EC2E62">
        <w:rPr>
          <w:rFonts w:ascii="Times New Roman" w:hAnsi="Times New Roman"/>
          <w:sz w:val="18"/>
          <w:szCs w:val="18"/>
        </w:rPr>
        <w:t>group</w:t>
      </w:r>
      <w:r>
        <w:rPr>
          <w:rFonts w:ascii="Times New Roman" w:hAnsi="Times New Roman"/>
          <w:sz w:val="18"/>
          <w:szCs w:val="18"/>
        </w:rPr>
        <w:t xml:space="preserve">; </w:t>
      </w:r>
      <w:r w:rsidRPr="00EC2E62">
        <w:rPr>
          <w:rFonts w:ascii="Times New Roman" w:hAnsi="Times New Roman"/>
          <w:sz w:val="18"/>
          <w:szCs w:val="18"/>
        </w:rPr>
        <w:t xml:space="preserve">P Value‡: P value from comparison of the </w:t>
      </w:r>
      <w:r>
        <w:rPr>
          <w:rFonts w:ascii="Times New Roman" w:hAnsi="Times New Roman"/>
          <w:sz w:val="18"/>
          <w:szCs w:val="18"/>
        </w:rPr>
        <w:t xml:space="preserve">reduced </w:t>
      </w:r>
      <w:r w:rsidR="003A270A" w:rsidRPr="00EC2E62">
        <w:rPr>
          <w:rFonts w:ascii="Times New Roman" w:hAnsi="Times New Roman"/>
          <w:sz w:val="18"/>
          <w:szCs w:val="18"/>
        </w:rPr>
        <w:t>LV</w:t>
      </w:r>
      <w:r w:rsidR="003A270A">
        <w:rPr>
          <w:rFonts w:ascii="Times New Roman" w:hAnsi="Times New Roman"/>
          <w:sz w:val="18"/>
          <w:szCs w:val="18"/>
        </w:rPr>
        <w:t>EF</w:t>
      </w:r>
      <w:r w:rsidR="003A270A" w:rsidRPr="00EC2E62">
        <w:rPr>
          <w:rFonts w:ascii="Times New Roman" w:hAnsi="Times New Roman"/>
          <w:sz w:val="18"/>
          <w:szCs w:val="18"/>
        </w:rPr>
        <w:t xml:space="preserve"> </w:t>
      </w:r>
      <w:r w:rsidRPr="00EC2E62">
        <w:rPr>
          <w:rFonts w:ascii="Times New Roman" w:hAnsi="Times New Roman"/>
          <w:sz w:val="18"/>
          <w:szCs w:val="18"/>
        </w:rPr>
        <w:t xml:space="preserve">group and </w:t>
      </w:r>
      <w:r>
        <w:rPr>
          <w:rFonts w:ascii="Times New Roman" w:hAnsi="Times New Roman"/>
          <w:sz w:val="18"/>
          <w:szCs w:val="18"/>
        </w:rPr>
        <w:t>preserved</w:t>
      </w:r>
      <w:r w:rsidRPr="00EC2E62">
        <w:rPr>
          <w:rFonts w:ascii="Times New Roman" w:hAnsi="Times New Roman"/>
          <w:sz w:val="18"/>
          <w:szCs w:val="18"/>
        </w:rPr>
        <w:t xml:space="preserve"> </w:t>
      </w:r>
      <w:r w:rsidR="003A270A" w:rsidRPr="00EC2E62">
        <w:rPr>
          <w:rFonts w:ascii="Times New Roman" w:hAnsi="Times New Roman"/>
          <w:sz w:val="18"/>
          <w:szCs w:val="18"/>
        </w:rPr>
        <w:t>LV</w:t>
      </w:r>
      <w:r w:rsidR="003A270A">
        <w:rPr>
          <w:rFonts w:ascii="Times New Roman" w:hAnsi="Times New Roman"/>
          <w:sz w:val="18"/>
          <w:szCs w:val="18"/>
        </w:rPr>
        <w:t>EF</w:t>
      </w:r>
      <w:r w:rsidR="003A270A" w:rsidRPr="00EC2E62">
        <w:rPr>
          <w:rFonts w:ascii="Times New Roman" w:hAnsi="Times New Roman"/>
          <w:sz w:val="18"/>
          <w:szCs w:val="18"/>
        </w:rPr>
        <w:t xml:space="preserve"> </w:t>
      </w:r>
      <w:r w:rsidRPr="00EC2E62">
        <w:rPr>
          <w:rFonts w:ascii="Times New Roman" w:hAnsi="Times New Roman"/>
          <w:sz w:val="18"/>
          <w:szCs w:val="18"/>
        </w:rPr>
        <w:t>group</w:t>
      </w:r>
    </w:p>
    <w:sectPr w:rsidR="004E3002" w:rsidRPr="008D4A79" w:rsidSect="008D4A79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D77" w:rsidRDefault="00934D77" w:rsidP="003A270A">
      <w:r>
        <w:separator/>
      </w:r>
    </w:p>
  </w:endnote>
  <w:endnote w:type="continuationSeparator" w:id="0">
    <w:p w:rsidR="00934D77" w:rsidRDefault="00934D77" w:rsidP="003A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D77" w:rsidRDefault="00934D77" w:rsidP="003A270A">
      <w:r>
        <w:separator/>
      </w:r>
    </w:p>
  </w:footnote>
  <w:footnote w:type="continuationSeparator" w:id="0">
    <w:p w:rsidR="00934D77" w:rsidRDefault="00934D77" w:rsidP="003A27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90BC5"/>
    <w:multiLevelType w:val="hybridMultilevel"/>
    <w:tmpl w:val="6E2C1D58"/>
    <w:lvl w:ilvl="0" w:tplc="ADC87E94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 w15:restartNumberingAfterBreak="0">
    <w:nsid w:val="0DCE3E96"/>
    <w:multiLevelType w:val="hybridMultilevel"/>
    <w:tmpl w:val="DD5A85C6"/>
    <w:lvl w:ilvl="0" w:tplc="E67811C4">
      <w:start w:val="3"/>
      <w:numFmt w:val="bullet"/>
      <w:lvlText w:val=""/>
      <w:lvlJc w:val="left"/>
      <w:pPr>
        <w:ind w:left="6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" w15:restartNumberingAfterBreak="0">
    <w:nsid w:val="24F21E71"/>
    <w:multiLevelType w:val="hybridMultilevel"/>
    <w:tmpl w:val="677C9E02"/>
    <w:lvl w:ilvl="0" w:tplc="18B09172"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267B03CA"/>
    <w:multiLevelType w:val="hybridMultilevel"/>
    <w:tmpl w:val="CC9AC812"/>
    <w:lvl w:ilvl="0" w:tplc="BFCEB51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35D3E9D"/>
    <w:multiLevelType w:val="hybridMultilevel"/>
    <w:tmpl w:val="80B05180"/>
    <w:lvl w:ilvl="0" w:tplc="3EFE0E2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4EF6103"/>
    <w:multiLevelType w:val="hybridMultilevel"/>
    <w:tmpl w:val="90ACBDDE"/>
    <w:lvl w:ilvl="0" w:tplc="D2EC6914"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37C01286"/>
    <w:multiLevelType w:val="hybridMultilevel"/>
    <w:tmpl w:val="9EF6C950"/>
    <w:lvl w:ilvl="0" w:tplc="BFCEB510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53413B6"/>
    <w:multiLevelType w:val="hybridMultilevel"/>
    <w:tmpl w:val="E1A412F0"/>
    <w:lvl w:ilvl="0" w:tplc="3EFE0E22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182851"/>
    <w:multiLevelType w:val="hybridMultilevel"/>
    <w:tmpl w:val="BB88C056"/>
    <w:lvl w:ilvl="0" w:tplc="3EFE0E22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757C6F"/>
    <w:multiLevelType w:val="hybridMultilevel"/>
    <w:tmpl w:val="559814C6"/>
    <w:lvl w:ilvl="0" w:tplc="99B415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00081D"/>
    <w:multiLevelType w:val="hybridMultilevel"/>
    <w:tmpl w:val="D6B2F3F0"/>
    <w:lvl w:ilvl="0" w:tplc="FC3C1F94">
      <w:start w:val="19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967F9A"/>
    <w:multiLevelType w:val="hybridMultilevel"/>
    <w:tmpl w:val="225815B8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50773356"/>
    <w:multiLevelType w:val="hybridMultilevel"/>
    <w:tmpl w:val="B702618C"/>
    <w:lvl w:ilvl="0" w:tplc="69A08EAA">
      <w:start w:val="3"/>
      <w:numFmt w:val="bullet"/>
      <w:lvlText w:val=""/>
      <w:lvlJc w:val="left"/>
      <w:pPr>
        <w:ind w:left="6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13" w15:restartNumberingAfterBreak="0">
    <w:nsid w:val="634F0966"/>
    <w:multiLevelType w:val="hybridMultilevel"/>
    <w:tmpl w:val="A190ADBE"/>
    <w:lvl w:ilvl="0" w:tplc="BFCEB510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66038E4"/>
    <w:multiLevelType w:val="hybridMultilevel"/>
    <w:tmpl w:val="8854914E"/>
    <w:lvl w:ilvl="0" w:tplc="3EFE0E22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C293ACC"/>
    <w:multiLevelType w:val="hybridMultilevel"/>
    <w:tmpl w:val="0C9E6166"/>
    <w:lvl w:ilvl="0" w:tplc="C21A1774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8"/>
  </w:num>
  <w:num w:numId="8">
    <w:abstractNumId w:val="1"/>
  </w:num>
  <w:num w:numId="9">
    <w:abstractNumId w:val="12"/>
  </w:num>
  <w:num w:numId="10">
    <w:abstractNumId w:val="11"/>
  </w:num>
  <w:num w:numId="11">
    <w:abstractNumId w:val="10"/>
  </w:num>
  <w:num w:numId="12">
    <w:abstractNumId w:val="15"/>
  </w:num>
  <w:num w:numId="13">
    <w:abstractNumId w:val="0"/>
  </w:num>
  <w:num w:numId="14">
    <w:abstractNumId w:val="2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A79"/>
    <w:rsid w:val="003A270A"/>
    <w:rsid w:val="004E3002"/>
    <w:rsid w:val="007E0F9C"/>
    <w:rsid w:val="008D4A79"/>
    <w:rsid w:val="00934D77"/>
    <w:rsid w:val="00BA0522"/>
    <w:rsid w:val="00FD6DC7"/>
    <w:rsid w:val="00FF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F24D2"/>
  <w15:chartTrackingRefBased/>
  <w15:docId w15:val="{6B79CCA3-944C-4B47-AC03-A3C6B299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A79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D4A7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0"/>
    <w:link w:val="a3"/>
    <w:uiPriority w:val="99"/>
    <w:rsid w:val="008D4A79"/>
    <w:rPr>
      <w:rFonts w:ascii="맑은 고딕" w:eastAsia="맑은 고딕" w:hAnsi="맑은 고딕" w:cs="Times New Roman"/>
    </w:rPr>
  </w:style>
  <w:style w:type="paragraph" w:styleId="a4">
    <w:name w:val="header"/>
    <w:basedOn w:val="a"/>
    <w:link w:val="Char0"/>
    <w:uiPriority w:val="99"/>
    <w:unhideWhenUsed/>
    <w:rsid w:val="008D4A7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8D4A79"/>
    <w:rPr>
      <w:rFonts w:ascii="맑은 고딕" w:eastAsia="맑은 고딕" w:hAnsi="맑은 고딕" w:cs="Times New Roman"/>
    </w:rPr>
  </w:style>
  <w:style w:type="character" w:customStyle="1" w:styleId="apple-converted-space">
    <w:name w:val="apple-converted-space"/>
    <w:basedOn w:val="a0"/>
    <w:rsid w:val="008D4A79"/>
  </w:style>
  <w:style w:type="table" w:styleId="a5">
    <w:name w:val="Table Grid"/>
    <w:basedOn w:val="a1"/>
    <w:uiPriority w:val="39"/>
    <w:rsid w:val="008D4A79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D4A79"/>
    <w:pPr>
      <w:spacing w:line="480" w:lineRule="auto"/>
      <w:ind w:leftChars="400" w:left="800"/>
    </w:pPr>
    <w:rPr>
      <w:rFonts w:ascii="Times New Roman" w:eastAsia="Times New Roman" w:hAnsi="Times New Roman"/>
      <w:szCs w:val="20"/>
    </w:rPr>
  </w:style>
  <w:style w:type="paragraph" w:styleId="a7">
    <w:name w:val="Body Text"/>
    <w:basedOn w:val="a"/>
    <w:link w:val="Char1"/>
    <w:rsid w:val="008D4A79"/>
    <w:pPr>
      <w:spacing w:line="480" w:lineRule="auto"/>
    </w:pPr>
    <w:rPr>
      <w:rFonts w:ascii="Times New Roman" w:eastAsia="바탕" w:hAnsi="Times New Roman"/>
      <w:sz w:val="24"/>
      <w:szCs w:val="24"/>
    </w:rPr>
  </w:style>
  <w:style w:type="character" w:customStyle="1" w:styleId="Char1">
    <w:name w:val="본문 Char"/>
    <w:basedOn w:val="a0"/>
    <w:link w:val="a7"/>
    <w:rsid w:val="008D4A79"/>
    <w:rPr>
      <w:rFonts w:ascii="Times New Roman" w:eastAsia="바탕" w:hAnsi="Times New Roman" w:cs="Times New Roman"/>
      <w:sz w:val="24"/>
      <w:szCs w:val="24"/>
    </w:rPr>
  </w:style>
  <w:style w:type="paragraph" w:customStyle="1" w:styleId="EndNoteBibliographyTitle">
    <w:name w:val="EndNote Bibliography Title"/>
    <w:basedOn w:val="a"/>
    <w:link w:val="EndNoteBibliographyTitleChar"/>
    <w:rsid w:val="008D4A79"/>
    <w:pPr>
      <w:jc w:val="center"/>
    </w:pPr>
    <w:rPr>
      <w:noProof/>
    </w:rPr>
  </w:style>
  <w:style w:type="character" w:customStyle="1" w:styleId="EndNoteBibliographyTitleChar">
    <w:name w:val="EndNote Bibliography Title Char"/>
    <w:basedOn w:val="a0"/>
    <w:link w:val="EndNoteBibliographyTitle"/>
    <w:rsid w:val="008D4A79"/>
    <w:rPr>
      <w:rFonts w:ascii="맑은 고딕" w:eastAsia="맑은 고딕" w:hAnsi="맑은 고딕" w:cs="Times New Roman"/>
      <w:noProof/>
    </w:rPr>
  </w:style>
  <w:style w:type="paragraph" w:customStyle="1" w:styleId="EndNoteBibliography">
    <w:name w:val="EndNote Bibliography"/>
    <w:basedOn w:val="a"/>
    <w:link w:val="EndNoteBibliographyChar"/>
    <w:rsid w:val="008D4A79"/>
    <w:rPr>
      <w:noProof/>
    </w:rPr>
  </w:style>
  <w:style w:type="character" w:customStyle="1" w:styleId="EndNoteBibliographyChar">
    <w:name w:val="EndNote Bibliography Char"/>
    <w:basedOn w:val="a0"/>
    <w:link w:val="EndNoteBibliography"/>
    <w:rsid w:val="008D4A79"/>
    <w:rPr>
      <w:rFonts w:ascii="맑은 고딕" w:eastAsia="맑은 고딕" w:hAnsi="맑은 고딕" w:cs="Times New Roman"/>
      <w:noProof/>
    </w:rPr>
  </w:style>
  <w:style w:type="character" w:styleId="a8">
    <w:name w:val="Hyperlink"/>
    <w:basedOn w:val="a0"/>
    <w:uiPriority w:val="99"/>
    <w:unhideWhenUsed/>
    <w:rsid w:val="008D4A79"/>
    <w:rPr>
      <w:color w:val="0563C1" w:themeColor="hyperlink"/>
      <w:u w:val="single"/>
    </w:rPr>
  </w:style>
  <w:style w:type="paragraph" w:styleId="a9">
    <w:name w:val="No Spacing"/>
    <w:link w:val="Char2"/>
    <w:uiPriority w:val="1"/>
    <w:qFormat/>
    <w:rsid w:val="008D4A79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2">
    <w:name w:val="간격 없음 Char"/>
    <w:basedOn w:val="a0"/>
    <w:link w:val="a9"/>
    <w:uiPriority w:val="1"/>
    <w:rsid w:val="008D4A79"/>
    <w:rPr>
      <w:rFonts w:ascii="맑은 고딕" w:eastAsia="맑은 고딕" w:hAnsi="맑은 고딕" w:cs="Times New Roman"/>
    </w:rPr>
  </w:style>
  <w:style w:type="paragraph" w:styleId="aa">
    <w:name w:val="Balloon Text"/>
    <w:basedOn w:val="a"/>
    <w:link w:val="Char3"/>
    <w:uiPriority w:val="99"/>
    <w:semiHidden/>
    <w:unhideWhenUsed/>
    <w:rsid w:val="008D4A7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8D4A79"/>
    <w:rPr>
      <w:rFonts w:asciiTheme="majorHAnsi" w:eastAsiaTheme="majorEastAsia" w:hAnsiTheme="majorHAnsi" w:cstheme="majorBidi"/>
      <w:sz w:val="18"/>
      <w:szCs w:val="18"/>
    </w:rPr>
  </w:style>
  <w:style w:type="table" w:styleId="ab">
    <w:name w:val="Light Shading"/>
    <w:basedOn w:val="a1"/>
    <w:uiPriority w:val="60"/>
    <w:rsid w:val="008D4A79"/>
    <w:pPr>
      <w:spacing w:after="0" w:line="240" w:lineRule="auto"/>
      <w:jc w:val="left"/>
    </w:pPr>
    <w:rPr>
      <w:color w:val="000000" w:themeColor="text1" w:themeShade="BF"/>
      <w:kern w:val="0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c">
    <w:name w:val="Placeholder Text"/>
    <w:basedOn w:val="a0"/>
    <w:uiPriority w:val="99"/>
    <w:semiHidden/>
    <w:rsid w:val="008D4A79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4A79"/>
    <w:rPr>
      <w:sz w:val="18"/>
      <w:szCs w:val="18"/>
    </w:rPr>
  </w:style>
  <w:style w:type="paragraph" w:styleId="ae">
    <w:name w:val="annotation text"/>
    <w:basedOn w:val="a"/>
    <w:link w:val="Char4"/>
    <w:uiPriority w:val="99"/>
    <w:semiHidden/>
    <w:unhideWhenUsed/>
    <w:rsid w:val="008D4A79"/>
    <w:pPr>
      <w:jc w:val="left"/>
    </w:pPr>
  </w:style>
  <w:style w:type="character" w:customStyle="1" w:styleId="Char4">
    <w:name w:val="메모 텍스트 Char"/>
    <w:basedOn w:val="a0"/>
    <w:link w:val="ae"/>
    <w:uiPriority w:val="99"/>
    <w:semiHidden/>
    <w:rsid w:val="008D4A79"/>
    <w:rPr>
      <w:rFonts w:ascii="맑은 고딕" w:eastAsia="맑은 고딕" w:hAnsi="맑은 고딕" w:cs="Times New Roman"/>
    </w:rPr>
  </w:style>
  <w:style w:type="paragraph" w:styleId="af">
    <w:name w:val="annotation subject"/>
    <w:basedOn w:val="ae"/>
    <w:next w:val="ae"/>
    <w:link w:val="Char5"/>
    <w:uiPriority w:val="99"/>
    <w:semiHidden/>
    <w:unhideWhenUsed/>
    <w:rsid w:val="008D4A79"/>
    <w:rPr>
      <w:b/>
      <w:bCs/>
    </w:rPr>
  </w:style>
  <w:style w:type="character" w:customStyle="1" w:styleId="Char5">
    <w:name w:val="메모 주제 Char"/>
    <w:basedOn w:val="Char4"/>
    <w:link w:val="af"/>
    <w:uiPriority w:val="99"/>
    <w:semiHidden/>
    <w:rsid w:val="008D4A79"/>
    <w:rPr>
      <w:rFonts w:ascii="맑은 고딕" w:eastAsia="맑은 고딕" w:hAnsi="맑은 고딕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1467</Words>
  <Characters>8368</Characters>
  <Application>Microsoft Office Word</Application>
  <DocSecurity>0</DocSecurity>
  <Lines>69</Lines>
  <Paragraphs>19</Paragraphs>
  <ScaleCrop>false</ScaleCrop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SNUH</dc:creator>
  <cp:keywords/>
  <dc:description/>
  <cp:lastModifiedBy>bin</cp:lastModifiedBy>
  <cp:revision>4</cp:revision>
  <dcterms:created xsi:type="dcterms:W3CDTF">2019-11-25T06:33:00Z</dcterms:created>
  <dcterms:modified xsi:type="dcterms:W3CDTF">2019-12-17T04:06:00Z</dcterms:modified>
</cp:coreProperties>
</file>